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XX集团文件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X资〔2026〕24号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关于职工薪酬调整方案的决议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建立健全与现代企业制度相适应的薪酬分配体系，合理调整职工收入水平，充分调动广大职工的积极性和创造性，增强企业凝聚力和竞争力，促进集团持续健康发展，经XX集团职工代表大会审议讨论表决，作出如下决议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调整原则。坚持效益导向、按劳分配、兼顾公平的原则，建立工资效益联动机制。职工薪酬水平与集团经济效益和个人业绩贡献紧密挂钩，做到能增能减、奖优罚劣。重点向生产一线岗位、关键岗位和高技能人才倾斜，合理拉开分配差距，打破"大锅饭"和平均主义，充分发挥薪酬的激励导向作用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调整方案。自2026年1月起，集团在岗职工人均月工资增加500元。其中，生产一线岗位职工月工资增加600元，技术岗位职工月工资增加550元，管理岗位职工月工资增加400元。同时调整岗位津贴标准，生产一线岗位津贴由每月300元提高至400元。绩效系数基准值由1.0调整为1.05，绩效优秀者系数上限由1.5提高至1.8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绩效考核。完善薪酬与绩效考核联动机制，将职工薪酬的30%纳入绩效浮动部分。按季度开展绩效考核，考核结果分为优秀、良好、合格、不合格四个等次，考核结果与绩效工资直接挂钩。年度考核优秀的职工可享受额外年终奖励，考核不合格的相应扣减绩效工资，连续两年不合格的予以转岗或解除劳动合同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福利保障。在调整基本薪酬的同时，同步提高职工住房公积金缴存比例，由10%调整为12%，增强职工购房保障能力。增加职工年度健康体检经费，由每人每年500元提高至800元，增加体检项目。完善职工补充医疗保险，提高大病医疗保障水平。设立职工子女教育关爱基金，对困难职工子女给予助学补助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资金保障。本次薪酬调整增加的支出纳入集团2026年度预算，由各子公司按规定列支。集团人力资源部负责薪酬调整方案的组织实施和政策解读，财务部负责资金保障和账务处理。各子公司要严格执行本方案，不得擅自调整薪酬标准和津补贴项目，确需调整的须报集团审批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本决议经XX集团职工代表大会表决通过，自2026年1月1日起施行。集团人力资源部要加强对方案执行情况的跟踪检查，及时发现和解决问题，确保薪酬调整工作规范有序落实。XX集团职工代表大会于2026年8月28日讨论通过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XX集团职工代表大会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2026年8月28日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