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XX市打击治理电信网络新型违法犯罪工作联席会议纪要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X公〔2026〕30号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XX市打击治理电信网络新型违法犯罪工作联席会议纪要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4月15日，XX市打击治理电信网络新型违法犯罪工作联席会议在市公安局召开。会议由召集人、市公安局局长张XX同志主持，市委宣传部、市委网信办、市中级人民法院、市检察院、市通信管理办、人民银行XX市中心支行及各商业银行等22个成员单位负责同志参加。会议主要通报工作情况、分析形势问题、部署下一步重点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听取了市公安局关于2026年第一季度全市打击治理电信网络新型违法犯罪工作情况的通报。一季度，全市共破获电信网络诈骗案件856起，抓获犯罪嫌疑人1320名，止付冻结涉案资金1.2亿元，发案数同比下降23.5%，直接经济损失同比下降18.2%，反诈工作取得阶段性成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指出，当前电信网络诈骗犯罪手法不断翻新，涉诈窝点向境外转移趋势明显，黑灰产业链依然活跃，跨境赌博与诈骗相互交织，反诈工作仍面临严峻形势。各部门要切实增强责任感和紧迫感，坚持问题导向，补齐短板弱项，持续推动打击治理工作向纵深发展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强调，要持续深化"断卡"行动，严厉打击非法买卖电话卡、银行卡违法犯罪。通信管理部门要严格落实电话用户实名制，加强异常电话卡监测处置。银行机构要加强账户风险防控，完善可疑交易监测模型，从源头上遏制涉诈黑灰产业链。网信部门要加强对涉诈网站和APP的巡查处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决定，一是开展为期三个月的集中打击整治专项行动，重点打击刷单返利、虚假投资、冒充公检法等高发类案，力争破案数和抓获数同比提升20%以上。二是推进"国家反诈中心"APP推广安装工作，将任务分解到各县（区）和各成员单位，力争年底前全市注册率达80%以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是建立涉诈资金快速止付协作机制，公安与银行、支付机构实现涉案账户信息实时共享和快速冻结，最大限度挽回群众损失。四是加强反诈宣传教育，针对老年人、学生、企业财务人员等易受骗群体开展精准宣传，通过典型案例以案说法，提升群众防骗意识和识骗能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要求，各成员单位要密切协作配合，形成工作合力。联席会议办公室要加强督导检查，每月通报工作进展。对工作不力、问题突出的单位，将予以通报约谈。本纪要发各成员单位贯彻执行，执行中的重大问题及时报联席会议办公室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XX市打击治理电信网络新型违法犯罪工作联席会议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2026年4月18日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