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XX市文化和旅游局公报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2026年第4号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XX市文化和旅游发展统计公报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2026年，全市文化和旅游系统坚持以文塑旅、以旅彰文，深入推进文旅融合发展，文化和旅游事业取得新成效。现将2026年全市文化和旅游发展统计情况公报如下。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公共文化服务情况。全市共有公共图书馆12个，文化馆（站）156个，博物馆18个。全年开展群众文化活动5680场次，参与群众286万人次。公共图书馆总藏书量385万册，年流通人次186万。公共文化服务标准化均等化水平持续提升，基本公共文化服务覆盖率达100%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文化遗产保护情况。全市共有全国重点文物保护单位15处，省级文物保护单位58处。非物质文化遗产代表性项目286项，其中国家级8项、省级35项。推进非遗工坊建设，建成非遗工坊35个。全年实施文物保护工程28项，文物保护状况持续改善，文化遗产传承利用成效显著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旅游发展情况。全年接待游客5680万人次，同比增长12.6%。实现旅游总收入486亿元，同比增长10.5%。其中接待入境游客28.6万人次，增长15.2%。A级旅游景区65个，其中5A级2个、4A级18个。乡村旅游接待游客1860万人次，增长18.5%，旅游市场强劲复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文旅产业发展情况。全市规模以上文化及相关产业企业386家，实现营业收入286亿元，同比增长8.6%。新增省级文化产业示范基地5个。文旅项目完成投资56亿元，新签约文旅项目28个。数字文化产业发展迅速，文化新业态特征明显的行业营收增长15.8%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艺术创作演出情况。新创排大型舞台艺术作品8部，获省级以上奖项5项。开展"文化惠民"演出560场次，惠及群众86万人次。国有文艺院团改革深化推进，演出场次增长12.5%。美术、书法、摄影等艺术创作活跃，一批优秀作品入选省级以上展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文旅市场管理情况。深化"放管服"改革，优化文旅市场营商环境。开展文旅市场专项整治，检查经营单位8560家次，查处违法违规案件186件。推进信用体系建设，文旅市场秩序持续好转。旅游投诉办结率98.6%，游客满意度达92.5%，文旅消费环境持续优化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XX市文化和旅游局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2026年3月20日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