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XX市市场监督管理局公报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2026年第3号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XX市市场主体发展情况公报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2026年，全市市场监管系统持续优化营商环境，激发市场主体活力，维护公平竞争市场秩序，市场主体发展呈现稳中有进的良好态势。现将2026年全市市场主体发展情况公报如下。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市场主体总量情况。截至2026年底，全市实有市场主体86.5万户，同比增长8.6%。其中企业26.8万户，个体工商户58.2万户，农民专业合作社1.5万户。每千常住人口拥有市场主体101户。市场主体总量持续增长，经济发展活力不断增强，市场信心稳步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新设市场主体情况。全年新设市场主体12.6万户，同比增长6.5%。其中新设企业3.8万户，新设个体工商户8.6万户。从行业分布看，批发零售业占比38.5%，住宿餐饮业占比15.6%，租赁和商务服务业占比12.3%，科学研究和技术服务业占比8.6%，产业结构持续优化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市场主体结构优化。企业占市场主体比重达31%，较上年提高1.2个百分点。第三产业市场主体占比82.5%，同比增长5.6%。高新技术企业和科技型中小企业数量分别达到1860家和3520家，同比分别增长12.5%和15.8%。市场主体质量持续提升，创新活力不断增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营商环境持续优化。全面推行企业开办"一网通办"，企业开办平均时间压缩至0.5个工作日。深化"证照分离"改革，惠及企业5.6万户。推进简易注销改革，办理简易注销1.2万件。知识产权创造运用力度加大，全市有效发明专利8650件，同比增长15.2%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市场秩序监管情况。全年查处各类市场违法案件5680件，案值1.2亿元。强化反垄断和反不正当竞争执法，立案调查垄断案件6件。加强价格监管，查处价格违法案件286件。消费者投诉举报办结率98.5%，为消费者挽回经济损失3560万元，市场秩序持续规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食品药品安全情况。食品安全监督抽检合格率98.2%，药品质量抽检合格率99.5%。推进食品安全"两个责任"落实，包保覆盖率100%。查处食品药品违法案件860件，移送司法机关56件。全市未发生重大食品药品安全事件，食品药品安全形势持续稳中向好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XX市市场监督管理局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2026年1月30日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