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XX市住房和城乡建设局公报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2026年第2号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XX市住房和城乡建设事业发展统计公报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2026年，全市住房和城乡建设系统深入贯彻新发展理念，着力推动住房和城乡建设事业高质量发展，城乡人居环境持续改善。现将2026年全市住房和城乡建设事业发展统计情况公报如下。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城镇住房情况。全市城镇居民人均住房建筑面积达到42.6平方米。全年新开工保障性住房8600套，基本建成6800套。棚户区改造开工5200套，基本建成4500套。老旧小区改造完成128个，惠及居民4.6万户。住房公积金缴存职工62.8万人，归集总额285.6亿元，住房保障体系不断完善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城市建设情况。全市城市道路总长度3856公里，人均城市道路面积18.6平方米。城市供水普及率99.5%，燃气普及率98.2%。城市污水处理率96.8%，再生水利用率22.5%。城市建成区绿地率38.5%，人均公园绿地面积15.2平方米。完成城市更新项目35个，城市功能品质持续提升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乡村建设情况。推进农村危房改造，完成改造2800户。开展农村人居环境整治，农村生活垃圾收运处置体系覆盖率达98.6%。农村生活污水治理率达45.2%。传统村落保护成效显著，32个村落列入省级传统村落名录，乡村面貌持续改善，农民居住条件不断提升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建筑业发展情况。全市建筑业总产值856亿元，同比增长7.2%。建筑业增加值286亿元，占GDP比重7.8%。具有资质等级的建筑施工企业568家，其中特级资质企业3家，一级资质企业28家。装配式建筑面积占新建建筑比例达到32.5%，产业转型升级加快推进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房地产市场情况。全年商品房销售面积685万平方米，同比下降3.2%。商品房销售额568亿元。房地产开发投资528亿元，同比增长2.5%。新建商品住房价格保持平稳，房地产市场总体运行平稳有序，住房保障体系不断完善，居民合理住房需求得到有效保障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六、绿色建筑与节能。全市新增绿色建筑面积860万平方米，占新建建筑比例达85.6%。完成既有建筑节能改造128万平方米。可再生能源建筑应用面积560万平方米。绿色建材推广应用力度加大，建筑垃圾资源化利用率达55.3%，建筑领域绿色发展成效显著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XX市住房和城乡建设局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2026年4月15日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