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XX市教育局文件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X教〔2026〕35号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关于XX学校校园安全责任事故的通报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各县（区）教育局，市直各学校：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2026年3月12日，我市XX学校发生一起校园安全责任事故，造成多名学生受伤，在社会上造成不良影响。为深刻汲取事故教训，举一反三，切实加强校园安全管理，防止类似事故再次发生，现将有关情况通报如下。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事故基本情况。2026年3月12日下午，XX学校组织学生在操场集合时，因围墙年久失修突然倒塌，造成5名学生受伤，其中2人骨折。事故发生后，学校启动应急预案，将受伤学生送医救治，目前伤情稳定。事故暴露出校园安全管理存在严重漏洞，教训十分深刻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事故原因分析。经调查组现场勘察和调查取证，事故主要原因为：一是学校安全主体责任落实不到位，围墙存在明显安全隐患但未及时排查整改；二是安全检查流于形式，未对校内建筑物进行定期安全鉴定；三是安全隐患排查治理机制不健全，日常巡查不到位、走过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责任追究情况。根据调查结果，经研究决定：对XX学校校长李XX给予行政警告处分；对分管安全工作副校长张XX给予行政记过处分；对后勤主任王XX给予行政记大过处分。责成XX学校向XX市教育局作出书面检查，并限期完成隐患整改，确保校园安全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深刻汲取教训。各地各学校要深刻汲取此次事故教训，切实增强做好校园安全工作的责任感和紧迫感。要牢固树立安全发展理念，始终把师生生命安全放在首位，坚决克服麻痹思想和侥幸心理，做到警钟长鸣、常抓不懈，切实筑牢校园安全防线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全面排查整治隐患。各地教育局要立即组织开展校园安全隐患大排查，覆盖所有中小学幼儿园，重点排查校舍设施、围墙挡墙、体育设施、消防设施等。对排查出的隐患要建立台账，限期整改到位，实行销号管理，坚决防止类似事故再次发生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健全长效机制。各学校要建立健全校园安全定期检查制度、隐患排查治理制度和安全责任追究制度。要加强师生安全教育演练，提高安全防范意识和应急自救能力。市教育局将适时开展督导检查，对工作不力的予以通报追责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特此通报。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XX市教育局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2026年5月8日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