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XX市财政局文件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X财〔2026〕18号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关于编制2026年部门预算的通知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市直各部门、各直属单位：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全面贯彻落实党中央、国务院关于零基预算管理改革的决策部署，进一步规范部门预算编制工作，优化财政资源配置，提高预算管理科学化精细化水平，根据《中华人民共和国预算法》及其实施条例有关规定，现就编制2026年市级部门预算有关事项通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预算编制原则。各部门要坚持量入为出、收支平衡，坚持零基预算理念，打破基数观念和支出固化格局。要统筹兼顾、突出重点，优先保障党中央、国务院和省委、省政府重大决策部署落实。要坚持尽力而为、量力而行，从严控制一般性支出，把有限的财政资金用在刀刃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规范项目库管理。所有预算支出必须以项目形式纳入项目库，未纳入项目库的项目不得安排预算。各部门要提前做好项目储备和评审论证，细化项目支出内容，明确绩效目标。要建立项目动态调整和退出机制，提升项目库质量，实现项目全生命周期管理，确保项目可执行、可考核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严控"三公"经费。各部门要严格落实过紧日子要求，持续压减"三公"经费支出，确保"三公"经费预算只减不增。要从严控制会议培训、差旅等一般性支出，严禁铺张浪费。要规范政府采购预算编制，做到应编尽编、应采尽采，严格执行政府采购制度，提高采购效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强化预算绩效管理。各部门要全面设置部门整体支出绩效目标和项目绩效目标，将绩效评价结果作为预算安排的重要依据。对绩效好的项目优先保障，对绩效差的项目核减或取消预算，切实做到花钱必问效、无效必问责，提高财政资金使用效益和政策实施效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编制进度安排。各部门须于9月30日前完成"一上"预算报送，11月15日前完成"二上"预算编制。各部门要严格按规定时间节点完成编制工作，确保数据真实准确、内容完整规范，逾期未报送的部门将予以通报。预算编制中的重大事项，须报经部门党组（党委）审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各部门要高度重视部门预算编制工作，加强组织领导，明确责任分工，严格审核把关。预算编制中的有关问题，请及时与市财政局预算科联系沟通。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XX市财政局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2026年8月10日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