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***市人民政府令</w:t>
      </w:r>
    </w:p>
    <w:p>
      <w:pPr>
        <w:spacing w:before="0" w:after="0" w:line="560" w:lineRule="exact"/>
      </w:pP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第×号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1280"/>
        <w:jc w:val="right"/>
      </w:pPr>
      <w:r>
        <w:rPr>
          <w:rFonts w:ascii="仿宋" w:hAnsi="仿宋" w:eastAsia="仿宋"/>
          <w:b w:val="0"/>
          <w:sz w:val="32"/>
        </w:rPr>
        <w:t>市长  ×××</w:t>
      </w:r>
    </w:p>
    <w:p>
      <w:pPr>
        <w:spacing w:before="0" w:after="0" w:line="560" w:lineRule="exact"/>
      </w:pP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《***市城市市容和环境卫生管理条例》已经2026年×月×日***市第×届人民代表大会常务委员会第×次会议审议通过，现予公布，自2026年×月×日起施行。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市长  ×××</w:t>
      </w: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